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1657">
      <w:pPr>
        <w:keepNext w:val="0"/>
        <w:keepLines w:val="0"/>
        <w:widowControl w:val="0"/>
        <w:suppressLineNumbers w:val="0"/>
        <w:spacing w:line="360" w:lineRule="auto"/>
        <w:jc w:val="both"/>
        <w:rPr>
          <w:rFonts w:hint="eastAsia" w:ascii="Calibri" w:hAnsi="Calibri" w:eastAsia="宋体" w:cs="宋体"/>
          <w:b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Calibri" w:hAnsi="Calibri" w:eastAsia="宋体" w:cs="宋体"/>
          <w:b/>
          <w:color w:val="auto"/>
          <w:kern w:val="2"/>
          <w:sz w:val="24"/>
          <w:szCs w:val="24"/>
          <w:highlight w:val="none"/>
          <w:lang w:val="en-US" w:eastAsia="zh-CN" w:bidi="ar"/>
        </w:rPr>
        <w:t>伦理审查收费标准及要求</w:t>
      </w:r>
      <w:r>
        <w:rPr>
          <w:rFonts w:hint="eastAsia" w:ascii="Calibri" w:hAnsi="Calibri" w:eastAsia="宋体" w:cs="宋体"/>
          <w:b/>
          <w:color w:val="auto"/>
          <w:sz w:val="24"/>
          <w:szCs w:val="24"/>
          <w:highlight w:val="none"/>
          <w:lang w:bidi="ar"/>
        </w:rPr>
        <w:t>（</w:t>
      </w:r>
      <w:r>
        <w:rPr>
          <w:rFonts w:hint="eastAsia" w:ascii="Calibri" w:hAnsi="Calibri" w:eastAsia="宋体" w:cs="宋体"/>
          <w:b/>
          <w:color w:val="auto"/>
          <w:sz w:val="24"/>
          <w:szCs w:val="24"/>
          <w:highlight w:val="none"/>
          <w:lang w:eastAsia="zh-CN" w:bidi="ar"/>
        </w:rPr>
        <w:t>IEC-A-01-</w:t>
      </w:r>
      <w:r>
        <w:rPr>
          <w:rFonts w:hint="eastAsia" w:ascii="Calibri" w:hAnsi="Calibri" w:eastAsia="宋体" w:cs="宋体"/>
          <w:b/>
          <w:color w:val="auto"/>
          <w:sz w:val="24"/>
          <w:szCs w:val="24"/>
          <w:highlight w:val="none"/>
          <w:lang w:bidi="ar"/>
        </w:rPr>
        <w:t>01</w:t>
      </w:r>
      <w:r>
        <w:rPr>
          <w:rFonts w:hint="eastAsia" w:ascii="Calibri" w:hAnsi="Calibri" w:eastAsia="宋体" w:cs="宋体"/>
          <w:b/>
          <w:color w:val="auto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="Calibri" w:hAnsi="Calibri" w:eastAsia="宋体" w:cs="宋体"/>
          <w:b/>
          <w:color w:val="auto"/>
          <w:sz w:val="24"/>
          <w:szCs w:val="24"/>
          <w:highlight w:val="none"/>
          <w:lang w:bidi="ar"/>
        </w:rPr>
        <w:t>-A01-</w:t>
      </w:r>
      <w:r>
        <w:rPr>
          <w:rFonts w:hint="eastAsia" w:ascii="Calibri" w:hAnsi="Calibri" w:cs="宋体"/>
          <w:b/>
          <w:color w:val="auto"/>
          <w:sz w:val="24"/>
          <w:szCs w:val="24"/>
          <w:highlight w:val="none"/>
          <w:lang w:eastAsia="zh-CN" w:bidi="ar"/>
        </w:rPr>
        <w:t>V2.2</w:t>
      </w:r>
      <w:r>
        <w:rPr>
          <w:rFonts w:hint="eastAsia" w:ascii="Calibri" w:hAnsi="Calibri" w:eastAsia="宋体" w:cs="宋体"/>
          <w:b/>
          <w:color w:val="auto"/>
          <w:sz w:val="24"/>
          <w:szCs w:val="24"/>
          <w:highlight w:val="none"/>
          <w:lang w:bidi="ar"/>
        </w:rPr>
        <w:t>）</w:t>
      </w:r>
    </w:p>
    <w:p w14:paraId="2610F9F4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 w:bidi="ar"/>
        </w:rPr>
        <w:t>伦理审查收费标准及要求</w:t>
      </w:r>
    </w:p>
    <w:p w14:paraId="7AA7A615">
      <w:pPr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napToGrid w:val="0"/>
        <w:spacing w:line="360" w:lineRule="auto"/>
        <w:ind w:firstLine="0" w:firstLineChars="0"/>
        <w:jc w:val="left"/>
        <w:rPr>
          <w:rFonts w:hint="eastAsia" w:ascii="Arial" w:hAnsi="Arial" w:cs="Arial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1.收费标准</w:t>
      </w:r>
    </w:p>
    <w:p w14:paraId="40E7FE4E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jc w:val="left"/>
        <w:rPr>
          <w:rFonts w:hint="default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1）药物/器械临床试验伦理审查收费标准</w:t>
      </w:r>
      <w:bookmarkStart w:id="0" w:name="_GoBack"/>
      <w:bookmarkEnd w:id="0"/>
    </w:p>
    <w:tbl>
      <w:tblPr>
        <w:tblStyle w:val="6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4947"/>
        <w:gridCol w:w="2127"/>
      </w:tblGrid>
      <w:tr w14:paraId="05D4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65" w:type="dxa"/>
            <w:noWrap w:val="0"/>
            <w:vAlign w:val="center"/>
          </w:tcPr>
          <w:p w14:paraId="6C29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审查形式</w:t>
            </w:r>
          </w:p>
        </w:tc>
        <w:tc>
          <w:tcPr>
            <w:tcW w:w="4947" w:type="dxa"/>
            <w:noWrap w:val="0"/>
            <w:vAlign w:val="center"/>
          </w:tcPr>
          <w:p w14:paraId="0C0C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类型</w:t>
            </w:r>
          </w:p>
        </w:tc>
        <w:tc>
          <w:tcPr>
            <w:tcW w:w="2127" w:type="dxa"/>
            <w:noWrap w:val="0"/>
            <w:vAlign w:val="center"/>
          </w:tcPr>
          <w:p w14:paraId="7AFE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收费标准</w:t>
            </w:r>
          </w:p>
        </w:tc>
      </w:tr>
      <w:tr w14:paraId="21F0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 w14:paraId="0D7C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初始审查</w:t>
            </w:r>
          </w:p>
        </w:tc>
        <w:tc>
          <w:tcPr>
            <w:tcW w:w="4947" w:type="dxa"/>
            <w:shd w:val="clear" w:color="auto" w:fill="auto"/>
            <w:noWrap w:val="0"/>
            <w:vAlign w:val="center"/>
          </w:tcPr>
          <w:p w14:paraId="7DB4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Arial" w:hAnsi="Arial" w:eastAsia="宋体" w:cs="Arial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Ⅰ期药物临床试验伦理审查费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 w14:paraId="56CD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eastAsia="宋体" w:cs="Arial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8000元/项</w:t>
            </w:r>
          </w:p>
        </w:tc>
      </w:tr>
      <w:tr w14:paraId="0538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 w14:paraId="7EC3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47" w:type="dxa"/>
            <w:noWrap w:val="0"/>
            <w:vAlign w:val="center"/>
          </w:tcPr>
          <w:p w14:paraId="48D7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Ⅱ期药物临床试验伦理审查费</w:t>
            </w:r>
          </w:p>
        </w:tc>
        <w:tc>
          <w:tcPr>
            <w:tcW w:w="2127" w:type="dxa"/>
            <w:noWrap w:val="0"/>
            <w:vAlign w:val="center"/>
          </w:tcPr>
          <w:p w14:paraId="05E9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8000元/项</w:t>
            </w:r>
          </w:p>
        </w:tc>
      </w:tr>
      <w:tr w14:paraId="296C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 w14:paraId="18DB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47" w:type="dxa"/>
            <w:noWrap w:val="0"/>
            <w:vAlign w:val="center"/>
          </w:tcPr>
          <w:p w14:paraId="677D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Ⅲ期药物临床试验伦理审查费</w:t>
            </w:r>
          </w:p>
        </w:tc>
        <w:tc>
          <w:tcPr>
            <w:tcW w:w="2127" w:type="dxa"/>
            <w:noWrap w:val="0"/>
            <w:vAlign w:val="center"/>
          </w:tcPr>
          <w:p w14:paraId="2AE8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6000元/项</w:t>
            </w:r>
          </w:p>
        </w:tc>
      </w:tr>
      <w:tr w14:paraId="2358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 w14:paraId="6525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47" w:type="dxa"/>
            <w:noWrap w:val="0"/>
            <w:vAlign w:val="center"/>
          </w:tcPr>
          <w:p w14:paraId="6BBA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Ⅳ期药物临床试验伦理审查费</w:t>
            </w:r>
          </w:p>
        </w:tc>
        <w:tc>
          <w:tcPr>
            <w:tcW w:w="2127" w:type="dxa"/>
            <w:noWrap w:val="0"/>
            <w:vAlign w:val="center"/>
          </w:tcPr>
          <w:p w14:paraId="007C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5000元/项</w:t>
            </w:r>
          </w:p>
        </w:tc>
      </w:tr>
      <w:tr w14:paraId="0954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 w14:paraId="43794F70"/>
        </w:tc>
        <w:tc>
          <w:tcPr>
            <w:tcW w:w="4947" w:type="dxa"/>
            <w:noWrap w:val="0"/>
            <w:vAlign w:val="center"/>
          </w:tcPr>
          <w:p w14:paraId="3955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三类器械临床试验伦理审查费</w:t>
            </w: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ab/>
            </w: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ab/>
            </w:r>
          </w:p>
        </w:tc>
        <w:tc>
          <w:tcPr>
            <w:tcW w:w="2127" w:type="dxa"/>
            <w:noWrap w:val="0"/>
            <w:vAlign w:val="center"/>
          </w:tcPr>
          <w:p w14:paraId="275D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6000元/项</w:t>
            </w:r>
          </w:p>
        </w:tc>
      </w:tr>
      <w:tr w14:paraId="7E23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 w14:paraId="42D4AC22"/>
        </w:tc>
        <w:tc>
          <w:tcPr>
            <w:tcW w:w="4947" w:type="dxa"/>
            <w:noWrap w:val="0"/>
            <w:vAlign w:val="center"/>
          </w:tcPr>
          <w:p w14:paraId="62F9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二类器械/体外诊断试剂临床试验伦理审查费</w:t>
            </w:r>
          </w:p>
        </w:tc>
        <w:tc>
          <w:tcPr>
            <w:tcW w:w="2127" w:type="dxa"/>
            <w:noWrap w:val="0"/>
            <w:vAlign w:val="center"/>
          </w:tcPr>
          <w:p w14:paraId="3BF5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5000元/项</w:t>
            </w:r>
          </w:p>
        </w:tc>
      </w:tr>
      <w:tr w14:paraId="3AD9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 w14:paraId="638D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跟踪审查</w:t>
            </w:r>
          </w:p>
        </w:tc>
        <w:tc>
          <w:tcPr>
            <w:tcW w:w="4947" w:type="dxa"/>
            <w:noWrap w:val="0"/>
            <w:vAlign w:val="center"/>
          </w:tcPr>
          <w:p w14:paraId="25DF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会议审查</w:t>
            </w:r>
          </w:p>
        </w:tc>
        <w:tc>
          <w:tcPr>
            <w:tcW w:w="2127" w:type="dxa"/>
            <w:noWrap w:val="0"/>
            <w:vAlign w:val="center"/>
          </w:tcPr>
          <w:p w14:paraId="2E1C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免费</w:t>
            </w:r>
          </w:p>
        </w:tc>
      </w:tr>
      <w:tr w14:paraId="1968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 w14:paraId="4B27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47" w:type="dxa"/>
            <w:noWrap w:val="0"/>
            <w:vAlign w:val="center"/>
          </w:tcPr>
          <w:p w14:paraId="08DE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快速审查</w:t>
            </w:r>
          </w:p>
        </w:tc>
        <w:tc>
          <w:tcPr>
            <w:tcW w:w="2127" w:type="dxa"/>
            <w:noWrap w:val="0"/>
            <w:vAlign w:val="center"/>
          </w:tcPr>
          <w:p w14:paraId="4982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免费</w:t>
            </w:r>
          </w:p>
        </w:tc>
      </w:tr>
      <w:tr w14:paraId="0D64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65" w:type="dxa"/>
            <w:noWrap w:val="0"/>
            <w:vAlign w:val="center"/>
          </w:tcPr>
          <w:p w14:paraId="53DC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紧急会议审查</w:t>
            </w:r>
          </w:p>
        </w:tc>
        <w:tc>
          <w:tcPr>
            <w:tcW w:w="4947" w:type="dxa"/>
            <w:noWrap w:val="0"/>
            <w:vAlign w:val="center"/>
          </w:tcPr>
          <w:p w14:paraId="5314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项目资料准备完备随时开会，无需加急费用</w:t>
            </w:r>
          </w:p>
        </w:tc>
        <w:tc>
          <w:tcPr>
            <w:tcW w:w="2127" w:type="dxa"/>
            <w:noWrap w:val="0"/>
            <w:vAlign w:val="center"/>
          </w:tcPr>
          <w:p w14:paraId="7204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免收加急费用</w:t>
            </w:r>
          </w:p>
        </w:tc>
      </w:tr>
    </w:tbl>
    <w:p w14:paraId="6A2FDEFE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2.缴费信息及要求</w:t>
      </w:r>
    </w:p>
    <w:p w14:paraId="090FC688">
      <w:pPr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napToGrid w:val="0"/>
        <w:spacing w:line="360" w:lineRule="auto"/>
        <w:ind w:leftChars="0" w:firstLine="0" w:firstLineChars="0"/>
        <w:jc w:val="left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1）缴费信息</w:t>
      </w:r>
    </w:p>
    <w:p w14:paraId="374CDF34">
      <w:pPr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napToGrid w:val="0"/>
        <w:spacing w:line="360" w:lineRule="auto"/>
        <w:ind w:leftChars="0"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院外单位缴纳的伦理审查费以汇款形式，通过银行汇入医院账号，伦理审查费转账账户相关信息：</w:t>
      </w:r>
    </w:p>
    <w:p w14:paraId="2C50C66D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户名：河南大学淮河医院</w:t>
      </w:r>
    </w:p>
    <w:p w14:paraId="41AAA1FD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开户行：中原银行开封大梁支行</w:t>
      </w:r>
    </w:p>
    <w:p w14:paraId="4F44D5CD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账号：5026288000037</w:t>
      </w:r>
    </w:p>
    <w:p w14:paraId="5872D22F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纳税人识别号（统一社会信用代码）：12410000416307583L</w:t>
      </w:r>
    </w:p>
    <w:p w14:paraId="01AD10C9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组织机构代码：410034977</w:t>
      </w:r>
    </w:p>
    <w:p w14:paraId="1C197705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法定代表人：</w:t>
      </w:r>
      <w:r>
        <w:rPr>
          <w:rFonts w:hint="eastAsia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左克强</w:t>
      </w:r>
    </w:p>
    <w:p w14:paraId="02612F98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地址：开封市西门大街115号河南大学淮河医院</w:t>
      </w:r>
    </w:p>
    <w:p w14:paraId="1C822BEE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邮编：475000  电话：0371-23906470  0371-23906849</w:t>
      </w:r>
    </w:p>
    <w:p w14:paraId="36B240A7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2）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转账备注要求</w:t>
      </w:r>
    </w:p>
    <w:p w14:paraId="7609DE82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转账备注：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伦理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审查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费 +项目名称或关键词 +审查类型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。</w:t>
      </w:r>
    </w:p>
    <w:p w14:paraId="73AB4F75">
      <w:pPr>
        <w:keepNext w:val="0"/>
        <w:keepLines w:val="0"/>
        <w:widowControl/>
        <w:suppressLineNumbers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 xml:space="preserve">3.票据开具与领取 </w:t>
      </w:r>
    </w:p>
    <w:p w14:paraId="335B1E20">
      <w:pPr>
        <w:keepNext w:val="0"/>
        <w:keepLines w:val="0"/>
        <w:widowControl/>
        <w:numPr>
          <w:ilvl w:val="0"/>
          <w:numId w:val="1"/>
        </w:numPr>
        <w:suppressLineNumbers w:val="0"/>
        <w:adjustRightInd w:val="0"/>
        <w:snapToGrid w:val="0"/>
        <w:spacing w:line="360" w:lineRule="auto"/>
        <w:ind w:left="0" w:hanging="5" w:firstLineChars="0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伦理审查费须在伦理审查前以转帐方式支付。</w:t>
      </w:r>
    </w:p>
    <w:p w14:paraId="624C2FF8">
      <w:pPr>
        <w:keepNext w:val="0"/>
        <w:keepLines w:val="0"/>
        <w:widowControl/>
        <w:numPr>
          <w:ilvl w:val="0"/>
          <w:numId w:val="1"/>
        </w:numPr>
        <w:suppressLineNumbers w:val="0"/>
        <w:adjustRightInd w:val="0"/>
        <w:snapToGrid w:val="0"/>
        <w:spacing w:line="360" w:lineRule="auto"/>
        <w:ind w:left="0" w:hanging="5" w:firstLineChars="0"/>
        <w:jc w:val="left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需要发票的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，在收费标准的基础上加交6%的税（如缴费标准1000元，需交1000×（1+6%）=1060元），由财务科开具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河南增值税电子普通发票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。</w:t>
      </w:r>
    </w:p>
    <w:p w14:paraId="7950BE64">
      <w:pPr>
        <w:numPr>
          <w:ilvl w:val="0"/>
          <w:numId w:val="1"/>
        </w:numPr>
        <w:adjustRightInd w:val="0"/>
        <w:snapToGrid w:val="0"/>
        <w:spacing w:line="360" w:lineRule="auto"/>
        <w:ind w:left="0" w:right="0" w:rightChars="0" w:hanging="5" w:firstLineChars="0"/>
        <w:jc w:val="left"/>
        <w:rPr>
          <w:rFonts w:hint="eastAsia" w:cs="宋体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汇</w:t>
      </w:r>
      <w:r>
        <w:rPr>
          <w:rFonts w:hint="eastAsia" w:ascii="Times New Roman" w:hAnsi="Times New Roman" w:cs="宋体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款到指定账号</w:t>
      </w:r>
      <w:r>
        <w:rPr>
          <w:rFonts w:hint="eastAsia" w:cs="宋体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后，及时与伦理办或财务科联系，出具相关开票信息，开具发票。</w:t>
      </w:r>
    </w:p>
    <w:p w14:paraId="2711B7E0">
      <w:pPr>
        <w:numPr>
          <w:ilvl w:val="-1"/>
          <w:numId w:val="0"/>
        </w:numPr>
        <w:adjustRightInd w:val="0"/>
        <w:snapToGrid w:val="0"/>
        <w:spacing w:line="360" w:lineRule="auto"/>
        <w:ind w:left="0" w:right="0" w:rightChars="0" w:firstLine="0" w:firstLineChars="0"/>
        <w:jc w:val="left"/>
        <w:rPr>
          <w:rFonts w:hint="eastAsia" w:cs="宋体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</w:p>
    <w:p w14:paraId="1B89FBF4">
      <w:pPr>
        <w:numPr>
          <w:ilvl w:val="-1"/>
          <w:numId w:val="0"/>
        </w:numPr>
        <w:adjustRightInd w:val="0"/>
        <w:snapToGrid w:val="0"/>
        <w:spacing w:line="360" w:lineRule="auto"/>
        <w:ind w:left="0" w:right="0" w:rightChars="0" w:firstLine="0" w:firstLineChars="0"/>
        <w:jc w:val="left"/>
        <w:rPr>
          <w:rFonts w:hint="eastAsia" w:cs="宋体"/>
          <w:i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</w:p>
    <w:p w14:paraId="5185B24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4F10B">
    <w:pPr>
      <w:pStyle w:val="4"/>
      <w:pBdr>
        <w:bottom w:val="single" w:color="auto" w:sz="4" w:space="1"/>
      </w:pBdr>
      <w:jc w:val="left"/>
    </w:pPr>
    <w:r>
      <w:drawing>
        <wp:inline distT="0" distB="0" distL="0" distR="0">
          <wp:extent cx="413385" cy="413385"/>
          <wp:effectExtent l="0" t="0" r="5715" b="5715"/>
          <wp:docPr id="6" name="图片 1" descr="淮河医院 LOGO（小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淮河医院 LOGO（小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338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rFonts w:hint="eastAsia"/>
      </w:rPr>
      <w:t xml:space="preserve">            </w:t>
    </w:r>
    <w:r>
      <w:t xml:space="preserve">    </w:t>
    </w:r>
    <w:r>
      <w:rPr>
        <w:sz w:val="20"/>
        <w:szCs w:val="20"/>
      </w:rPr>
      <w:t xml:space="preserve">              </w:t>
    </w:r>
    <w:r>
      <w:rPr>
        <w:rFonts w:hint="eastAsia" w:cs="宋体"/>
        <w:sz w:val="20"/>
        <w:szCs w:val="20"/>
      </w:rPr>
      <w:t>伦理委员会文档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2062"/>
    <w:multiLevelType w:val="singleLevel"/>
    <w:tmpl w:val="5F55206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650FD"/>
    <w:rsid w:val="5BB3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2025-02-26T08:23:55Z</dcterms:created>
  <dc:creator>willi</dc:creator>
  <cp:lastModifiedBy>瑜新</cp:lastModifiedBy>
  <dcterms:modified xsi:type="dcterms:W3CDTF">2025-02-26T08:28:50Z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eyJoZGlkIjoiYWU0MmQ0ZWI2MTVmNTlkODdhZDM3MGU3OGNkNzc4YTIiLCJ1c2VySWQiOiIyNDEzNjI0MDQifQ==</vt:lpwstr>
  </property>
  <property fmtid="{D5CDD505-2E9C-101B-9397-08002B2CF9AE}" pid="4" name="ICV">
    <vt:lpwstr>5E5A3BE736384244B0D1B9C2045A1800_12</vt:lpwstr>
  </property>
</Properties>
</file>